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A8755">
      <w:pPr>
        <w:spacing w:before="0" w:after="0" w:line="480" w:lineRule="auto"/>
        <w:ind w:left="0" w:right="0" w:firstLine="0"/>
        <w:jc w:val="both"/>
        <w:rPr>
          <w:rFonts w:hint="eastAsia" w:ascii="方正小标宋简体" w:hAnsi="方正小标宋简体" w:eastAsia="黑体" w:cs="方正小标宋简体"/>
          <w:color w:val="auto"/>
          <w:spacing w:val="0"/>
          <w:position w:val="0"/>
          <w:sz w:val="36"/>
          <w:shd w:val="clear" w:fill="auto"/>
          <w:lang w:val="en-US" w:eastAsia="zh-CN"/>
        </w:rPr>
      </w:pPr>
      <w:r>
        <w:rPr>
          <w:rFonts w:ascii="黑体" w:hAnsi="黑体" w:eastAsia="黑体" w:cs="黑体"/>
          <w:color w:val="auto"/>
          <w:spacing w:val="0"/>
          <w:position w:val="0"/>
          <w:sz w:val="32"/>
          <w:shd w:val="clear" w:fill="auto"/>
        </w:rPr>
        <w:t>附件</w:t>
      </w:r>
      <w:r>
        <w:rPr>
          <w:rFonts w:hint="eastAsia" w:ascii="黑体" w:hAnsi="黑体" w:eastAsia="黑体" w:cs="黑体"/>
          <w:color w:val="auto"/>
          <w:spacing w:val="0"/>
          <w:position w:val="0"/>
          <w:sz w:val="32"/>
          <w:shd w:val="clear" w:fill="auto"/>
          <w:lang w:val="en-US" w:eastAsia="zh-CN"/>
        </w:rPr>
        <w:t>3</w:t>
      </w:r>
    </w:p>
    <w:p w14:paraId="6B52FDE2">
      <w:pPr>
        <w:spacing w:before="0" w:after="0" w:line="560" w:lineRule="auto"/>
        <w:ind w:left="0" w:right="0" w:firstLine="0"/>
        <w:jc w:val="center"/>
        <w:rPr>
          <w:rFonts w:ascii="方正小标宋简体" w:hAnsi="方正小标宋简体" w:eastAsia="方正小标宋简体" w:cs="方正小标宋简体"/>
          <w:color w:val="auto"/>
          <w:spacing w:val="0"/>
          <w:position w:val="0"/>
          <w:sz w:val="36"/>
          <w:shd w:val="clear" w:fill="auto"/>
        </w:rPr>
      </w:pPr>
      <w:r>
        <w:rPr>
          <w:rFonts w:hint="eastAsia" w:ascii="方正小标宋简体" w:eastAsia="方正小标宋简体"/>
          <w:sz w:val="36"/>
          <w:szCs w:val="36"/>
          <w:lang w:eastAsia="zh-CN"/>
        </w:rPr>
        <w:t>重点支出项目绩效评价报告</w:t>
      </w:r>
    </w:p>
    <w:p w14:paraId="5FA5F0E8">
      <w:pPr>
        <w:spacing w:before="0" w:after="0" w:line="240" w:lineRule="auto"/>
        <w:ind w:left="0" w:right="0" w:firstLine="0"/>
        <w:jc w:val="center"/>
        <w:rPr>
          <w:rFonts w:ascii="仿宋_GB2312" w:hAnsi="仿宋_GB2312" w:eastAsia="仿宋_GB2312" w:cs="仿宋_GB2312"/>
          <w:color w:val="auto"/>
          <w:spacing w:val="0"/>
          <w:position w:val="0"/>
          <w:sz w:val="32"/>
          <w:shd w:val="clear" w:fill="auto"/>
        </w:rPr>
      </w:pPr>
    </w:p>
    <w:p w14:paraId="62C2DC56">
      <w:pPr>
        <w:spacing w:before="0" w:after="0" w:line="600" w:lineRule="auto"/>
        <w:ind w:left="0" w:right="0" w:firstLine="640"/>
        <w:jc w:val="both"/>
        <w:rPr>
          <w:rFonts w:ascii="黑体" w:hAnsi="黑体" w:eastAsia="黑体" w:cs="黑体"/>
          <w:color w:val="auto"/>
          <w:spacing w:val="0"/>
          <w:position w:val="0"/>
          <w:sz w:val="32"/>
          <w:shd w:val="clear" w:fill="auto"/>
        </w:rPr>
      </w:pPr>
      <w:r>
        <w:rPr>
          <w:rFonts w:ascii="黑体" w:hAnsi="黑体" w:eastAsia="黑体" w:cs="黑体"/>
          <w:color w:val="auto"/>
          <w:spacing w:val="0"/>
          <w:position w:val="0"/>
          <w:sz w:val="32"/>
          <w:shd w:val="clear" w:fill="auto"/>
        </w:rPr>
        <w:t>一、基本情况</w:t>
      </w:r>
      <w:bookmarkStart w:id="0" w:name="_GoBack"/>
      <w:bookmarkEnd w:id="0"/>
    </w:p>
    <w:p w14:paraId="0F9277F8">
      <w:pPr>
        <w:spacing w:before="0" w:after="0" w:line="600" w:lineRule="auto"/>
        <w:ind w:left="0" w:right="0" w:firstLine="640"/>
        <w:jc w:val="both"/>
        <w:rPr>
          <w:rFonts w:ascii="楷体_GB2312" w:hAnsi="楷体_GB2312" w:eastAsia="楷体_GB2312" w:cs="楷体_GB2312"/>
          <w:color w:val="auto"/>
          <w:spacing w:val="0"/>
          <w:position w:val="0"/>
          <w:sz w:val="32"/>
          <w:shd w:val="clear" w:fill="auto"/>
        </w:rPr>
      </w:pPr>
      <w:r>
        <w:rPr>
          <w:rFonts w:ascii="楷体_GB2312" w:hAnsi="楷体_GB2312" w:eastAsia="楷体_GB2312" w:cs="楷体_GB2312"/>
          <w:color w:val="auto"/>
          <w:spacing w:val="0"/>
          <w:position w:val="0"/>
          <w:sz w:val="32"/>
          <w:shd w:val="clear" w:fill="auto"/>
        </w:rPr>
        <w:t>党建工作经费，通过组织党建工作相关会议、专委会分党组活动、机关党总支和各支部活动、委员中的中共党员开展党建工作和培训、购买党建工作相关书籍资料等，委员会的党组和分党组组织培训和学习，提高委员会整体党建水平。</w:t>
      </w:r>
    </w:p>
    <w:p w14:paraId="413714D3">
      <w:pPr>
        <w:spacing w:before="0" w:after="0" w:line="600" w:lineRule="auto"/>
        <w:ind w:left="0" w:right="0" w:firstLine="640"/>
        <w:jc w:val="both"/>
        <w:rPr>
          <w:rFonts w:ascii="黑体" w:hAnsi="黑体" w:eastAsia="黑体" w:cs="黑体"/>
          <w:color w:val="auto"/>
          <w:spacing w:val="0"/>
          <w:position w:val="0"/>
          <w:sz w:val="32"/>
          <w:shd w:val="clear" w:fill="auto"/>
        </w:rPr>
      </w:pPr>
      <w:r>
        <w:rPr>
          <w:rFonts w:ascii="黑体" w:hAnsi="黑体" w:eastAsia="黑体" w:cs="黑体"/>
          <w:color w:val="auto"/>
          <w:spacing w:val="0"/>
          <w:position w:val="0"/>
          <w:sz w:val="32"/>
          <w:shd w:val="clear" w:fill="auto"/>
        </w:rPr>
        <w:t>二、绩效评价工作开展情况</w:t>
      </w:r>
    </w:p>
    <w:p w14:paraId="480D269D">
      <w:pPr>
        <w:spacing w:before="0" w:after="0" w:line="600" w:lineRule="auto"/>
        <w:ind w:left="0" w:right="0" w:firstLine="640"/>
        <w:jc w:val="both"/>
        <w:rPr>
          <w:rFonts w:ascii="楷体_GB2312" w:hAnsi="楷体_GB2312" w:eastAsia="楷体_GB2312" w:cs="楷体_GB2312"/>
          <w:color w:val="auto"/>
          <w:spacing w:val="0"/>
          <w:position w:val="0"/>
          <w:sz w:val="32"/>
          <w:shd w:val="clear" w:fill="auto"/>
        </w:rPr>
      </w:pPr>
      <w:r>
        <w:rPr>
          <w:rFonts w:ascii="楷体_GB2312" w:hAnsi="楷体_GB2312" w:eastAsia="楷体_GB2312" w:cs="楷体_GB2312"/>
          <w:color w:val="auto"/>
          <w:spacing w:val="0"/>
          <w:position w:val="0"/>
          <w:sz w:val="32"/>
          <w:shd w:val="clear" w:fill="auto"/>
        </w:rPr>
        <w:t>（一）绩效评价目的、对象和范围。</w:t>
      </w:r>
    </w:p>
    <w:p w14:paraId="7447AC7A">
      <w:pPr>
        <w:spacing w:before="0" w:after="0" w:line="600" w:lineRule="auto"/>
        <w:ind w:left="0" w:right="0" w:firstLine="640"/>
        <w:jc w:val="both"/>
        <w:rPr>
          <w:rFonts w:ascii="楷体_GB2312" w:hAnsi="楷体_GB2312" w:eastAsia="楷体_GB2312" w:cs="楷体_GB2312"/>
          <w:color w:val="auto"/>
          <w:spacing w:val="0"/>
          <w:position w:val="0"/>
          <w:sz w:val="32"/>
          <w:shd w:val="clear" w:fill="auto"/>
        </w:rPr>
      </w:pPr>
      <w:r>
        <w:rPr>
          <w:rFonts w:ascii="楷体_GB2312" w:hAnsi="楷体_GB2312" w:eastAsia="楷体_GB2312" w:cs="楷体_GB2312"/>
          <w:color w:val="auto"/>
          <w:spacing w:val="0"/>
          <w:position w:val="0"/>
          <w:sz w:val="32"/>
          <w:shd w:val="clear" w:fill="auto"/>
        </w:rPr>
        <w:t>对党建工作的保障和发挥促进党建。</w:t>
      </w:r>
    </w:p>
    <w:p w14:paraId="0256021D">
      <w:pPr>
        <w:spacing w:before="0" w:after="0" w:line="600" w:lineRule="auto"/>
        <w:ind w:left="0" w:right="0" w:firstLine="640"/>
        <w:jc w:val="both"/>
        <w:rPr>
          <w:rFonts w:ascii="楷体_GB2312" w:hAnsi="楷体_GB2312" w:eastAsia="楷体_GB2312" w:cs="楷体_GB2312"/>
          <w:color w:val="auto"/>
          <w:spacing w:val="0"/>
          <w:position w:val="0"/>
          <w:sz w:val="32"/>
          <w:shd w:val="clear" w:fill="auto"/>
        </w:rPr>
      </w:pPr>
      <w:r>
        <w:rPr>
          <w:rFonts w:ascii="楷体_GB2312" w:hAnsi="楷体_GB2312" w:eastAsia="楷体_GB2312" w:cs="楷体_GB2312"/>
          <w:color w:val="auto"/>
          <w:spacing w:val="0"/>
          <w:position w:val="0"/>
          <w:sz w:val="32"/>
          <w:shd w:val="clear" w:fill="auto"/>
        </w:rPr>
        <w:t>（二）通过举办活动次数、活动进度、参加活动人数、主题关注度及参与公众满意度来进行评价。</w:t>
      </w:r>
    </w:p>
    <w:p w14:paraId="05FB444B">
      <w:pPr>
        <w:spacing w:before="0" w:after="0" w:line="600" w:lineRule="auto"/>
        <w:ind w:left="0" w:right="0" w:firstLine="640"/>
        <w:jc w:val="both"/>
        <w:rPr>
          <w:rFonts w:ascii="楷体_GB2312" w:hAnsi="楷体_GB2312" w:eastAsia="楷体_GB2312" w:cs="楷体_GB2312"/>
          <w:color w:val="auto"/>
          <w:spacing w:val="0"/>
          <w:position w:val="0"/>
          <w:sz w:val="32"/>
          <w:shd w:val="clear" w:fill="auto"/>
        </w:rPr>
      </w:pPr>
      <w:r>
        <w:rPr>
          <w:rFonts w:ascii="楷体_GB2312" w:hAnsi="楷体_GB2312" w:eastAsia="楷体_GB2312" w:cs="楷体_GB2312"/>
          <w:color w:val="auto"/>
          <w:spacing w:val="0"/>
          <w:position w:val="0"/>
          <w:sz w:val="32"/>
          <w:shd w:val="clear" w:fill="auto"/>
        </w:rPr>
        <w:t>（三）财务部门与主管项目委室进行合作评价该项目完成情况，进一步完善绩效自评工作。</w:t>
      </w:r>
    </w:p>
    <w:p w14:paraId="797D9179">
      <w:pPr>
        <w:spacing w:before="0" w:after="0" w:line="600" w:lineRule="auto"/>
        <w:ind w:left="0" w:right="0" w:firstLine="640"/>
        <w:jc w:val="both"/>
        <w:rPr>
          <w:rFonts w:ascii="黑体" w:hAnsi="黑体" w:eastAsia="黑体" w:cs="黑体"/>
          <w:color w:val="auto"/>
          <w:spacing w:val="0"/>
          <w:position w:val="0"/>
          <w:sz w:val="32"/>
          <w:shd w:val="clear" w:fill="auto"/>
        </w:rPr>
      </w:pPr>
      <w:r>
        <w:rPr>
          <w:rFonts w:ascii="黑体" w:hAnsi="黑体" w:eastAsia="黑体" w:cs="黑体"/>
          <w:color w:val="auto"/>
          <w:spacing w:val="0"/>
          <w:position w:val="0"/>
          <w:sz w:val="32"/>
          <w:shd w:val="clear" w:fill="auto"/>
        </w:rPr>
        <w:t>三、综合评价情况及评价结论</w:t>
      </w:r>
    </w:p>
    <w:p w14:paraId="130ECE10">
      <w:pPr>
        <w:spacing w:before="0" w:after="0" w:line="600" w:lineRule="auto"/>
        <w:ind w:left="0" w:right="0" w:firstLine="640"/>
        <w:jc w:val="both"/>
        <w:rPr>
          <w:rFonts w:ascii="楷体_GB2312" w:hAnsi="楷体_GB2312" w:eastAsia="楷体_GB2312" w:cs="楷体_GB2312"/>
          <w:color w:val="auto"/>
          <w:spacing w:val="0"/>
          <w:position w:val="0"/>
          <w:sz w:val="32"/>
          <w:shd w:val="clear" w:fill="auto"/>
        </w:rPr>
      </w:pPr>
      <w:r>
        <w:rPr>
          <w:rFonts w:ascii="楷体_GB2312" w:hAnsi="楷体_GB2312" w:eastAsia="楷体_GB2312" w:cs="楷体_GB2312"/>
          <w:color w:val="auto"/>
          <w:spacing w:val="0"/>
          <w:position w:val="0"/>
          <w:sz w:val="32"/>
          <w:shd w:val="clear" w:fill="auto"/>
        </w:rPr>
        <w:t>党建工作经费是对党建工作的保障，发挥促进党建工作的动力，该项目虽在九月底前未能达到支出率75%的要求，但于年底前已完成该项目的进度，并取得较好的活动效果。</w:t>
      </w:r>
    </w:p>
    <w:p w14:paraId="65FA71B7">
      <w:pPr>
        <w:spacing w:before="0" w:after="0" w:line="600" w:lineRule="auto"/>
        <w:ind w:left="0" w:right="0" w:firstLine="640"/>
        <w:jc w:val="both"/>
        <w:rPr>
          <w:rFonts w:ascii="黑体" w:hAnsi="黑体" w:eastAsia="黑体" w:cs="黑体"/>
          <w:color w:val="auto"/>
          <w:spacing w:val="0"/>
          <w:position w:val="0"/>
          <w:sz w:val="32"/>
          <w:shd w:val="clear" w:fill="auto"/>
        </w:rPr>
      </w:pPr>
      <w:r>
        <w:rPr>
          <w:rFonts w:ascii="黑体" w:hAnsi="黑体" w:eastAsia="黑体" w:cs="黑体"/>
          <w:color w:val="auto"/>
          <w:spacing w:val="0"/>
          <w:position w:val="0"/>
          <w:sz w:val="32"/>
          <w:shd w:val="clear" w:fill="auto"/>
        </w:rPr>
        <w:t>四、绩效评价指标分析</w:t>
      </w:r>
    </w:p>
    <w:p w14:paraId="2001116D">
      <w:pPr>
        <w:spacing w:before="0" w:after="0" w:line="600" w:lineRule="auto"/>
        <w:ind w:left="0" w:right="0" w:firstLine="640"/>
        <w:jc w:val="both"/>
        <w:rPr>
          <w:rFonts w:ascii="楷体_GB2312" w:hAnsi="楷体_GB2312" w:eastAsia="楷体_GB2312" w:cs="楷体_GB2312"/>
          <w:color w:val="auto"/>
          <w:spacing w:val="0"/>
          <w:position w:val="0"/>
          <w:sz w:val="32"/>
          <w:shd w:val="clear" w:fill="auto"/>
        </w:rPr>
      </w:pPr>
      <w:r>
        <w:rPr>
          <w:rFonts w:ascii="楷体_GB2312" w:hAnsi="楷体_GB2312" w:eastAsia="楷体_GB2312" w:cs="楷体_GB2312"/>
          <w:color w:val="auto"/>
          <w:spacing w:val="0"/>
          <w:position w:val="0"/>
          <w:sz w:val="32"/>
          <w:shd w:val="clear" w:fill="auto"/>
        </w:rPr>
        <w:t>完成了设定的举办活动次数，达到该项目设定的产出数量指标，并在年底前完成项目的活动进度。</w:t>
      </w:r>
    </w:p>
    <w:p w14:paraId="6C1D3775">
      <w:pPr>
        <w:spacing w:before="0" w:after="0" w:line="600" w:lineRule="auto"/>
        <w:ind w:left="0" w:right="0" w:firstLine="640"/>
        <w:jc w:val="both"/>
        <w:rPr>
          <w:rFonts w:ascii="楷体_GB2312" w:hAnsi="楷体_GB2312" w:eastAsia="楷体_GB2312" w:cs="楷体_GB2312"/>
          <w:color w:val="auto"/>
          <w:spacing w:val="0"/>
          <w:position w:val="0"/>
          <w:sz w:val="32"/>
          <w:shd w:val="clear" w:fill="auto"/>
        </w:rPr>
      </w:pPr>
      <w:r>
        <w:rPr>
          <w:rFonts w:ascii="楷体_GB2312" w:hAnsi="楷体_GB2312" w:eastAsia="楷体_GB2312" w:cs="楷体_GB2312"/>
          <w:color w:val="auto"/>
          <w:spacing w:val="0"/>
          <w:position w:val="0"/>
          <w:sz w:val="32"/>
          <w:shd w:val="clear" w:fill="auto"/>
        </w:rPr>
        <w:t>提升了党建主题关注度，增加了活动参与人数，形成一定范围的社会效益。参与活动的群众满意度不低于90%。形成良好的活动效果。</w:t>
      </w:r>
    </w:p>
    <w:p w14:paraId="062BCA26">
      <w:pPr>
        <w:spacing w:before="0" w:after="0" w:line="600" w:lineRule="auto"/>
        <w:ind w:left="0" w:right="0" w:firstLine="640"/>
        <w:jc w:val="both"/>
        <w:rPr>
          <w:rFonts w:ascii="黑体" w:hAnsi="黑体" w:eastAsia="黑体" w:cs="黑体"/>
          <w:color w:val="auto"/>
          <w:spacing w:val="0"/>
          <w:position w:val="0"/>
          <w:sz w:val="32"/>
          <w:shd w:val="clear" w:fill="auto"/>
        </w:rPr>
      </w:pPr>
      <w:r>
        <w:rPr>
          <w:rFonts w:ascii="黑体" w:hAnsi="黑体" w:eastAsia="黑体" w:cs="黑体"/>
          <w:color w:val="auto"/>
          <w:spacing w:val="0"/>
          <w:position w:val="0"/>
          <w:sz w:val="32"/>
          <w:shd w:val="clear" w:fill="auto"/>
        </w:rPr>
        <w:t>五、主要经验及做法、存在的问题及原因分析</w:t>
      </w:r>
    </w:p>
    <w:p w14:paraId="2277F7FA">
      <w:pPr>
        <w:spacing w:before="0" w:after="0" w:line="600" w:lineRule="auto"/>
        <w:ind w:left="0" w:right="0" w:firstLine="640"/>
        <w:jc w:val="both"/>
        <w:rPr>
          <w:rFonts w:ascii="黑体" w:hAnsi="黑体" w:eastAsia="黑体" w:cs="黑体"/>
          <w:color w:val="auto"/>
          <w:spacing w:val="0"/>
          <w:position w:val="0"/>
          <w:sz w:val="32"/>
          <w:shd w:val="clear" w:fill="auto"/>
        </w:rPr>
      </w:pPr>
      <w:r>
        <w:rPr>
          <w:rFonts w:ascii="黑体" w:hAnsi="黑体" w:eastAsia="黑体" w:cs="黑体"/>
          <w:color w:val="auto"/>
          <w:spacing w:val="0"/>
          <w:position w:val="0"/>
          <w:sz w:val="32"/>
          <w:shd w:val="clear" w:fill="auto"/>
        </w:rPr>
        <w:t xml:space="preserve">  </w:t>
      </w:r>
      <w:r>
        <w:rPr>
          <w:rFonts w:ascii="楷体_GB2312" w:hAnsi="楷体_GB2312" w:eastAsia="楷体_GB2312" w:cs="楷体_GB2312"/>
          <w:color w:val="auto"/>
          <w:spacing w:val="0"/>
          <w:position w:val="0"/>
          <w:sz w:val="32"/>
          <w:shd w:val="clear" w:fill="auto"/>
        </w:rPr>
        <w:t>此项目</w:t>
      </w:r>
      <w:r>
        <w:rPr>
          <w:rFonts w:hint="eastAsia" w:ascii="楷体_GB2312" w:hAnsi="楷体_GB2312" w:eastAsia="楷体_GB2312" w:cs="楷体_GB2312"/>
          <w:color w:val="auto"/>
          <w:spacing w:val="0"/>
          <w:position w:val="0"/>
          <w:sz w:val="32"/>
          <w:shd w:val="clear" w:fill="auto"/>
          <w:lang w:eastAsia="zh-CN"/>
        </w:rPr>
        <w:t>前期支出进度较为缓慢</w:t>
      </w:r>
      <w:r>
        <w:rPr>
          <w:rFonts w:ascii="楷体_GB2312" w:hAnsi="楷体_GB2312" w:eastAsia="楷体_GB2312" w:cs="楷体_GB2312"/>
          <w:color w:val="auto"/>
          <w:spacing w:val="0"/>
          <w:position w:val="0"/>
          <w:sz w:val="32"/>
          <w:shd w:val="clear" w:fill="auto"/>
        </w:rPr>
        <w:t>，原因是年底统筹开展购买学习软件、在线学习类书籍，并在202</w:t>
      </w:r>
      <w:r>
        <w:rPr>
          <w:rFonts w:hint="eastAsia" w:ascii="楷体_GB2312" w:hAnsi="楷体_GB2312" w:eastAsia="楷体_GB2312" w:cs="楷体_GB2312"/>
          <w:color w:val="auto"/>
          <w:spacing w:val="0"/>
          <w:position w:val="0"/>
          <w:sz w:val="32"/>
          <w:shd w:val="clear" w:fill="auto"/>
          <w:lang w:val="en-US" w:eastAsia="zh-CN"/>
        </w:rPr>
        <w:t>4</w:t>
      </w:r>
      <w:r>
        <w:rPr>
          <w:rFonts w:ascii="楷体_GB2312" w:hAnsi="楷体_GB2312" w:eastAsia="楷体_GB2312" w:cs="楷体_GB2312"/>
          <w:color w:val="auto"/>
          <w:spacing w:val="0"/>
          <w:position w:val="0"/>
          <w:sz w:val="32"/>
          <w:shd w:val="clear" w:fill="auto"/>
        </w:rPr>
        <w:t>年12月已完成全部支出任务。</w:t>
      </w:r>
    </w:p>
    <w:p w14:paraId="681C405F">
      <w:pPr>
        <w:spacing w:before="0" w:after="0" w:line="600" w:lineRule="auto"/>
        <w:ind w:left="0" w:right="0" w:firstLine="640"/>
        <w:jc w:val="both"/>
        <w:rPr>
          <w:rFonts w:ascii="黑体" w:hAnsi="黑体" w:eastAsia="黑体" w:cs="黑体"/>
          <w:color w:val="auto"/>
          <w:spacing w:val="0"/>
          <w:position w:val="0"/>
          <w:sz w:val="32"/>
          <w:shd w:val="clear" w:fill="auto"/>
        </w:rPr>
      </w:pPr>
      <w:r>
        <w:rPr>
          <w:rFonts w:ascii="黑体" w:hAnsi="黑体" w:eastAsia="黑体" w:cs="黑体"/>
          <w:color w:val="auto"/>
          <w:spacing w:val="0"/>
          <w:position w:val="0"/>
          <w:sz w:val="32"/>
          <w:shd w:val="clear" w:fill="auto"/>
        </w:rPr>
        <w:t>六、有关建议</w:t>
      </w:r>
    </w:p>
    <w:p w14:paraId="05DCDEE7">
      <w:pPr>
        <w:spacing w:before="0" w:after="0" w:line="600" w:lineRule="auto"/>
        <w:ind w:left="0" w:right="0" w:firstLine="640"/>
        <w:jc w:val="both"/>
        <w:rPr>
          <w:rFonts w:ascii="黑体" w:hAnsi="黑体" w:eastAsia="黑体" w:cs="黑体"/>
          <w:color w:val="auto"/>
          <w:spacing w:val="0"/>
          <w:position w:val="0"/>
          <w:sz w:val="32"/>
          <w:shd w:val="clear" w:fill="auto"/>
        </w:rPr>
      </w:pPr>
      <w:r>
        <w:rPr>
          <w:rFonts w:ascii="黑体" w:hAnsi="黑体" w:eastAsia="黑体" w:cs="黑体"/>
          <w:color w:val="auto"/>
          <w:spacing w:val="0"/>
          <w:position w:val="0"/>
          <w:sz w:val="32"/>
          <w:shd w:val="clear" w:fill="auto"/>
        </w:rPr>
        <w:t>无</w:t>
      </w:r>
    </w:p>
    <w:p w14:paraId="2BDBBA9C">
      <w:pPr>
        <w:spacing w:before="0" w:after="0" w:line="600" w:lineRule="auto"/>
        <w:ind w:left="0" w:right="0" w:firstLine="640"/>
        <w:jc w:val="both"/>
        <w:rPr>
          <w:rFonts w:ascii="黑体" w:hAnsi="黑体" w:eastAsia="黑体" w:cs="黑体"/>
          <w:color w:val="auto"/>
          <w:spacing w:val="0"/>
          <w:position w:val="0"/>
          <w:sz w:val="32"/>
          <w:shd w:val="clear" w:fill="auto"/>
        </w:rPr>
      </w:pPr>
      <w:r>
        <w:rPr>
          <w:rFonts w:ascii="黑体" w:hAnsi="黑体" w:eastAsia="黑体" w:cs="黑体"/>
          <w:color w:val="auto"/>
          <w:spacing w:val="0"/>
          <w:position w:val="0"/>
          <w:sz w:val="32"/>
          <w:shd w:val="clear" w:fill="auto"/>
        </w:rPr>
        <w:t>七、其他需要说明的问题</w:t>
      </w:r>
    </w:p>
    <w:p w14:paraId="504FE860">
      <w:pPr>
        <w:spacing w:before="0" w:after="0" w:line="600" w:lineRule="auto"/>
        <w:ind w:left="0" w:right="0" w:firstLine="640"/>
        <w:jc w:val="both"/>
        <w:rPr>
          <w:rFonts w:ascii="黑体" w:hAnsi="黑体" w:eastAsia="黑体" w:cs="黑体"/>
          <w:color w:val="auto"/>
          <w:spacing w:val="0"/>
          <w:position w:val="0"/>
          <w:sz w:val="32"/>
          <w:shd w:val="clear" w:fill="auto"/>
        </w:rPr>
      </w:pPr>
      <w:r>
        <w:rPr>
          <w:rFonts w:ascii="黑体" w:hAnsi="黑体" w:eastAsia="黑体" w:cs="黑体"/>
          <w:color w:val="auto"/>
          <w:spacing w:val="0"/>
          <w:position w:val="0"/>
          <w:sz w:val="32"/>
          <w:shd w:val="clear" w:fill="auto"/>
        </w:rPr>
        <w:t>无</w:t>
      </w:r>
    </w:p>
    <w:sectPr>
      <w:pgSz w:w="11906" w:h="1683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52854DB9"/>
    <w:rsid w:val="5CCC5F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547</Words>
  <Characters>555</Characters>
  <TotalTime>0</TotalTime>
  <ScaleCrop>false</ScaleCrop>
  <LinksUpToDate>false</LinksUpToDate>
  <CharactersWithSpaces>557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2025-02-11T07:37:00Z</dcterms:created>
  <dc:creator>lenovo</dc:creator>
  <cp:lastModifiedBy>8237476979</cp:lastModifiedBy>
  <dcterms:modified xsi:type="dcterms:W3CDTF">2025-08-27T07:09:06Z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eyJoZGlkIjoiYzk0NzM1NzE3ZGFlNzhjYWQzODMyYTZiODg2OWIyYWQiLCJ1c2VySWQiOiIxNjQ2OTgyMTU1In0=</vt:lpwstr>
  </property>
  <property fmtid="{D5CDD505-2E9C-101B-9397-08002B2CF9AE}" pid="3" name="KSOProductBuildVer">
    <vt:lpwstr>2052-12.1.0.22529</vt:lpwstr>
  </property>
  <property fmtid="{D5CDD505-2E9C-101B-9397-08002B2CF9AE}" pid="4" name="ICV">
    <vt:lpwstr>43F5AB45FBF04BECBA3001858834FA67_12</vt:lpwstr>
  </property>
</Properties>
</file>